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2E6" w:rsidRDefault="00F66BB5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Аннотация к рабочей программе дополнительного образования</w:t>
      </w:r>
    </w:p>
    <w:p w:rsidR="00A322E6" w:rsidRDefault="00D52194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«Баскетбол</w:t>
      </w:r>
      <w:r w:rsidR="00F66BB5">
        <w:rPr>
          <w:rFonts w:ascii="Times New Roman" w:hAnsi="Times New Roman" w:cs="Times New Roman"/>
          <w:sz w:val="28"/>
        </w:rPr>
        <w:t xml:space="preserve">» </w:t>
      </w:r>
    </w:p>
    <w:p w:rsidR="00A322E6" w:rsidRDefault="00A322E6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A322E6" w:rsidRDefault="00F66BB5">
      <w:pPr>
        <w:pStyle w:val="ParagraphStyle"/>
        <w:spacing w:line="252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Рабочая программа дополнительного образования </w:t>
      </w:r>
      <w:r w:rsidRPr="00D52194">
        <w:rPr>
          <w:rFonts w:ascii="Times New Roman" w:hAnsi="Times New Roman" w:cs="Times New Roman"/>
          <w:b/>
        </w:rPr>
        <w:t>«</w:t>
      </w:r>
      <w:r w:rsidR="00D52194" w:rsidRPr="00D52194">
        <w:rPr>
          <w:rFonts w:ascii="Times New Roman" w:hAnsi="Times New Roman" w:cs="Times New Roman"/>
          <w:b/>
        </w:rPr>
        <w:t>Баскетбол</w:t>
      </w:r>
      <w:r w:rsidRPr="00D52194">
        <w:rPr>
          <w:rFonts w:ascii="Times New Roman" w:hAnsi="Times New Roman" w:cs="Times New Roman"/>
          <w:b/>
        </w:rPr>
        <w:t>» составлена</w:t>
      </w:r>
      <w:r>
        <w:rPr>
          <w:rFonts w:ascii="Times New Roman" w:hAnsi="Times New Roman" w:cs="Times New Roman"/>
          <w:b/>
        </w:rPr>
        <w:t xml:space="preserve"> на основе</w:t>
      </w:r>
      <w:r>
        <w:rPr>
          <w:rFonts w:ascii="Times New Roman" w:hAnsi="Times New Roman" w:cs="Times New Roman"/>
        </w:rPr>
        <w:t xml:space="preserve"> </w:t>
      </w:r>
      <w:r w:rsidR="00D52194">
        <w:rPr>
          <w:rFonts w:ascii="Times New Roman" w:hAnsi="Times New Roman" w:cs="Times New Roman"/>
          <w:bCs/>
          <w:spacing w:val="-3"/>
        </w:rPr>
        <w:t>о</w:t>
      </w:r>
      <w:r w:rsidR="00D52194" w:rsidRPr="00D52194">
        <w:rPr>
          <w:rFonts w:ascii="Times New Roman" w:hAnsi="Times New Roman" w:cs="Times New Roman"/>
          <w:bCs/>
          <w:spacing w:val="-3"/>
        </w:rPr>
        <w:t>бразовательной программы составлена</w:t>
      </w:r>
      <w:r w:rsidR="00D52194" w:rsidRPr="00D52194">
        <w:rPr>
          <w:rFonts w:ascii="Times New Roman" w:eastAsia="SchoolBookC" w:hAnsi="Times New Roman" w:cs="Times New Roman"/>
        </w:rPr>
        <w:t xml:space="preserve"> в соответствии с требованиями Федерального государственного образовательного стандарта начального общего образования и</w:t>
      </w:r>
      <w:r w:rsidR="00D52194" w:rsidRPr="00D52194">
        <w:rPr>
          <w:rFonts w:ascii="Times New Roman" w:hAnsi="Times New Roman" w:cs="Times New Roman"/>
          <w:bCs/>
          <w:spacing w:val="-3"/>
        </w:rPr>
        <w:t xml:space="preserve"> на основе </w:t>
      </w:r>
      <w:r w:rsidR="00D52194" w:rsidRPr="00D52194">
        <w:rPr>
          <w:rFonts w:ascii="Times New Roman" w:hAnsi="Times New Roman" w:cs="Times New Roman"/>
        </w:rPr>
        <w:t>Программ внеурочной деятельности. Спортивно-оздоровительной направленности.</w:t>
      </w:r>
      <w:r w:rsidR="00D52194" w:rsidRPr="00D52194">
        <w:rPr>
          <w:rFonts w:ascii="Times New Roman" w:hAnsi="Times New Roman" w:cs="Times New Roman"/>
          <w:b/>
          <w:spacing w:val="2"/>
        </w:rPr>
        <w:t xml:space="preserve">  </w:t>
      </w:r>
      <w:r w:rsidR="00D52194" w:rsidRPr="00D52194">
        <w:rPr>
          <w:rFonts w:ascii="Times New Roman" w:hAnsi="Times New Roman" w:cs="Times New Roman"/>
          <w:spacing w:val="2"/>
        </w:rPr>
        <w:t>Авторы:</w:t>
      </w:r>
      <w:r w:rsidR="00D52194" w:rsidRPr="00D52194">
        <w:rPr>
          <w:rFonts w:ascii="Times New Roman" w:hAnsi="Times New Roman" w:cs="Times New Roman"/>
          <w:b/>
          <w:spacing w:val="2"/>
        </w:rPr>
        <w:t xml:space="preserve"> </w:t>
      </w:r>
      <w:r w:rsidR="00D52194" w:rsidRPr="00D52194">
        <w:rPr>
          <w:rFonts w:ascii="Times New Roman" w:hAnsi="Times New Roman" w:cs="Times New Roman"/>
        </w:rPr>
        <w:t>В.С.Кузнецов, Г.А. Колодницкий - Москва «Просвещение» 2014. Рабочая программа составлена   на 2 часа в неделю, 84ч в год.</w:t>
      </w:r>
    </w:p>
    <w:p w:rsidR="00D52194" w:rsidRPr="00D52194" w:rsidRDefault="00F66BB5" w:rsidP="00D521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и задачи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Повышение уровня физического развития подростков.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Подготовка спортивного резерва</w:t>
      </w:r>
    </w:p>
    <w:p w:rsidR="00D52194" w:rsidRPr="00D52194" w:rsidRDefault="00F66BB5" w:rsidP="00D52194">
      <w:pPr>
        <w:pStyle w:val="afa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D52194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Задачи:</w:t>
      </w:r>
      <w:r w:rsidRPr="00D521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521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D52194">
        <w:rPr>
          <w:rFonts w:ascii="Times New Roman" w:hAnsi="Times New Roman" w:cs="Times New Roman"/>
          <w:sz w:val="24"/>
          <w:szCs w:val="24"/>
        </w:rPr>
        <w:t>1. Р</w:t>
      </w:r>
      <w:r w:rsidR="00D52194" w:rsidRPr="00D52194">
        <w:rPr>
          <w:rFonts w:ascii="Times New Roman" w:hAnsi="Times New Roman" w:cs="Times New Roman"/>
          <w:sz w:val="24"/>
          <w:szCs w:val="24"/>
        </w:rPr>
        <w:t xml:space="preserve">асширение двигательного опыта за счет овладения двигательными действиями из </w:t>
      </w:r>
      <w:r w:rsidR="00D52194">
        <w:rPr>
          <w:rFonts w:ascii="Times New Roman" w:hAnsi="Times New Roman" w:cs="Times New Roman"/>
          <w:sz w:val="24"/>
          <w:szCs w:val="24"/>
        </w:rPr>
        <w:t xml:space="preserve">  </w:t>
      </w:r>
      <w:r w:rsidR="00D52194" w:rsidRPr="00D52194">
        <w:rPr>
          <w:rFonts w:ascii="Times New Roman" w:hAnsi="Times New Roman" w:cs="Times New Roman"/>
          <w:sz w:val="24"/>
          <w:szCs w:val="24"/>
        </w:rPr>
        <w:t xml:space="preserve">раздела «баскетбол» и использование их в качестве средств укрепления здоровья и </w:t>
      </w:r>
      <w:r w:rsidR="00D52194">
        <w:rPr>
          <w:rFonts w:ascii="Times New Roman" w:hAnsi="Times New Roman" w:cs="Times New Roman"/>
          <w:sz w:val="24"/>
          <w:szCs w:val="24"/>
        </w:rPr>
        <w:t xml:space="preserve"> </w:t>
      </w:r>
      <w:r w:rsidR="00D52194" w:rsidRPr="00D52194">
        <w:rPr>
          <w:rFonts w:ascii="Times New Roman" w:hAnsi="Times New Roman" w:cs="Times New Roman"/>
          <w:sz w:val="24"/>
          <w:szCs w:val="24"/>
        </w:rPr>
        <w:t>формирования основ индивидуального здорового образа жизни;</w:t>
      </w:r>
    </w:p>
    <w:p w:rsidR="00D52194" w:rsidRPr="00D52194" w:rsidRDefault="00D52194" w:rsidP="00D52194">
      <w:pPr>
        <w:pStyle w:val="afa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</w:t>
      </w:r>
      <w:r w:rsidRPr="00D52194">
        <w:rPr>
          <w:rFonts w:ascii="Times New Roman" w:hAnsi="Times New Roman" w:cs="Times New Roman"/>
          <w:sz w:val="24"/>
          <w:szCs w:val="24"/>
        </w:rPr>
        <w:t>овершенствование функциональных возможностей организма;</w:t>
      </w:r>
    </w:p>
    <w:p w:rsidR="00D52194" w:rsidRPr="00D52194" w:rsidRDefault="00D52194" w:rsidP="00D52194">
      <w:pPr>
        <w:pStyle w:val="afa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</w:t>
      </w:r>
      <w:r w:rsidRPr="00D52194">
        <w:rPr>
          <w:rFonts w:ascii="Times New Roman" w:hAnsi="Times New Roman" w:cs="Times New Roman"/>
          <w:sz w:val="24"/>
          <w:szCs w:val="24"/>
        </w:rPr>
        <w:t>ормирование позитивной психологии общения и коллективного взаимодействия;</w:t>
      </w:r>
    </w:p>
    <w:p w:rsidR="00D52194" w:rsidRPr="00D52194" w:rsidRDefault="00D52194" w:rsidP="00D52194">
      <w:pPr>
        <w:pStyle w:val="afa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</w:t>
      </w:r>
      <w:r w:rsidRPr="00D52194">
        <w:rPr>
          <w:rFonts w:ascii="Times New Roman" w:hAnsi="Times New Roman" w:cs="Times New Roman"/>
          <w:sz w:val="24"/>
          <w:szCs w:val="24"/>
        </w:rPr>
        <w:t>ормирование умений в организации и судействе спортивной игры «баскетбол».</w:t>
      </w:r>
    </w:p>
    <w:p w:rsidR="00A322E6" w:rsidRDefault="00A322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2E6" w:rsidRDefault="00F66BB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A322E6" w:rsidRDefault="00F66BB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и режим занятий.</w:t>
      </w:r>
    </w:p>
    <w:p w:rsidR="00A322E6" w:rsidRDefault="00F66BB5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обучения</w:t>
      </w:r>
      <w:r>
        <w:rPr>
          <w:rFonts w:ascii="Times New Roman" w:hAnsi="Times New Roman" w:cs="Times New Roman"/>
          <w:sz w:val="24"/>
          <w:szCs w:val="24"/>
        </w:rPr>
        <w:t>: учебно-тренировочное занятие (фронтальный, групповой, поточный), учебно-</w:t>
      </w:r>
      <w:r w:rsidR="00D52194">
        <w:rPr>
          <w:rFonts w:ascii="Times New Roman" w:hAnsi="Times New Roman" w:cs="Times New Roman"/>
          <w:sz w:val="24"/>
          <w:szCs w:val="24"/>
        </w:rPr>
        <w:t>тренировочная игра</w:t>
      </w:r>
      <w:r w:rsidR="00207DC5">
        <w:rPr>
          <w:rFonts w:ascii="Times New Roman" w:hAnsi="Times New Roman" w:cs="Times New Roman"/>
          <w:sz w:val="24"/>
          <w:szCs w:val="24"/>
        </w:rPr>
        <w:t xml:space="preserve"> в баскетбол.</w:t>
      </w:r>
    </w:p>
    <w:p w:rsidR="00A322E6" w:rsidRDefault="00A322E6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7"/>
        <w:gridCol w:w="2414"/>
        <w:gridCol w:w="2300"/>
        <w:gridCol w:w="2300"/>
      </w:tblGrid>
      <w:tr w:rsidR="00A322E6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A322E6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мин; </w:t>
            </w:r>
          </w:p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 перерыв</w:t>
            </w:r>
          </w:p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 мин.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часа</w:t>
            </w:r>
          </w:p>
        </w:tc>
      </w:tr>
    </w:tbl>
    <w:p w:rsidR="00A322E6" w:rsidRDefault="00A322E6">
      <w:pPr>
        <w:ind w:left="360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2E6" w:rsidRDefault="00F66BB5">
      <w:pPr>
        <w:spacing w:before="100" w:beforeAutospacing="1" w:after="100" w:afterAutospacing="1" w:line="240" w:lineRule="atLeas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</w:p>
    <w:tbl>
      <w:tblPr>
        <w:tblStyle w:val="af9"/>
        <w:tblW w:w="0" w:type="auto"/>
        <w:tblInd w:w="893" w:type="dxa"/>
        <w:tblLook w:val="04A0" w:firstRow="1" w:lastRow="0" w:firstColumn="1" w:lastColumn="0" w:noHBand="0" w:noVBand="1"/>
      </w:tblPr>
      <w:tblGrid>
        <w:gridCol w:w="559"/>
        <w:gridCol w:w="3612"/>
        <w:gridCol w:w="1423"/>
        <w:gridCol w:w="1359"/>
        <w:gridCol w:w="1725"/>
      </w:tblGrid>
      <w:tr w:rsidR="00A322E6" w:rsidTr="00207DC5">
        <w:trPr>
          <w:trHeight w:val="332"/>
        </w:trPr>
        <w:tc>
          <w:tcPr>
            <w:tcW w:w="559" w:type="dxa"/>
            <w:vMerge w:val="restart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</w:t>
            </w:r>
          </w:p>
        </w:tc>
        <w:tc>
          <w:tcPr>
            <w:tcW w:w="3612" w:type="dxa"/>
            <w:vMerge w:val="restart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Темы</w:t>
            </w:r>
          </w:p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4507" w:type="dxa"/>
            <w:gridSpan w:val="3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Количество часов</w:t>
            </w:r>
          </w:p>
        </w:tc>
      </w:tr>
      <w:tr w:rsidR="00A322E6" w:rsidTr="00207DC5">
        <w:trPr>
          <w:trHeight w:val="285"/>
        </w:trPr>
        <w:tc>
          <w:tcPr>
            <w:tcW w:w="559" w:type="dxa"/>
            <w:vMerge/>
          </w:tcPr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3612" w:type="dxa"/>
            <w:vMerge/>
          </w:tcPr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Всего 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Теория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Практика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Передвижение и остановки</w:t>
            </w:r>
          </w:p>
        </w:tc>
        <w:tc>
          <w:tcPr>
            <w:tcW w:w="1423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10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10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Броски мяча</w:t>
            </w: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12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12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3612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423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15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Отбор мяча</w:t>
            </w: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3612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Тактика игры</w:t>
            </w: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16</w:t>
            </w:r>
          </w:p>
        </w:tc>
        <w:tc>
          <w:tcPr>
            <w:tcW w:w="1359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12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3612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Правила и судейство</w:t>
            </w:r>
          </w:p>
        </w:tc>
        <w:tc>
          <w:tcPr>
            <w:tcW w:w="1423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359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A322E6" w:rsidRDefault="00F66BB5" w:rsidP="00207DC5">
            <w:pPr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Обманные движения (финты)</w:t>
            </w: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</w:tr>
      <w:tr w:rsidR="00A322E6" w:rsidTr="00207DC5">
        <w:tc>
          <w:tcPr>
            <w:tcW w:w="5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9</w:t>
            </w:r>
          </w:p>
        </w:tc>
        <w:tc>
          <w:tcPr>
            <w:tcW w:w="3612" w:type="dxa"/>
          </w:tcPr>
          <w:p w:rsidR="00A322E6" w:rsidRDefault="00F66BB5" w:rsidP="00207DC5">
            <w:pPr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Требование </w:t>
            </w:r>
            <w:r w:rsidR="00207DC5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ТБ на занятиях секции по баскетболу</w:t>
            </w:r>
          </w:p>
        </w:tc>
        <w:tc>
          <w:tcPr>
            <w:tcW w:w="1423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1359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725" w:type="dxa"/>
          </w:tcPr>
          <w:p w:rsidR="00A322E6" w:rsidRDefault="003315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</w:tr>
      <w:tr w:rsidR="00A322E6" w:rsidTr="00207DC5">
        <w:tc>
          <w:tcPr>
            <w:tcW w:w="559" w:type="dxa"/>
          </w:tcPr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3612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Итого</w:t>
            </w: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84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76</w:t>
            </w:r>
          </w:p>
        </w:tc>
      </w:tr>
      <w:bookmarkEnd w:id="0"/>
    </w:tbl>
    <w:p w:rsidR="00A322E6" w:rsidRDefault="00A322E6"/>
    <w:sectPr w:rsidR="00A32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C0D" w:rsidRDefault="00B91C0D">
      <w:pPr>
        <w:spacing w:after="0" w:line="240" w:lineRule="auto"/>
      </w:pPr>
      <w:r>
        <w:separator/>
      </w:r>
    </w:p>
  </w:endnote>
  <w:endnote w:type="continuationSeparator" w:id="0">
    <w:p w:rsidR="00B91C0D" w:rsidRDefault="00B9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C0D" w:rsidRDefault="00B91C0D">
      <w:pPr>
        <w:spacing w:after="0" w:line="240" w:lineRule="auto"/>
      </w:pPr>
      <w:r>
        <w:separator/>
      </w:r>
    </w:p>
  </w:footnote>
  <w:footnote w:type="continuationSeparator" w:id="0">
    <w:p w:rsidR="00B91C0D" w:rsidRDefault="00B9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E1933"/>
    <w:multiLevelType w:val="multilevel"/>
    <w:tmpl w:val="D770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E6"/>
    <w:rsid w:val="00207DC5"/>
    <w:rsid w:val="003315E9"/>
    <w:rsid w:val="00A322E6"/>
    <w:rsid w:val="00B91C0D"/>
    <w:rsid w:val="00D52194"/>
    <w:rsid w:val="00F6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A396"/>
  <w15:docId w15:val="{4456FDF7-4FCD-441D-A3EA-81106C6A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ParagraphStyle">
    <w:name w:val="Paragraph Styl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List Paragraph"/>
    <w:basedOn w:val="a"/>
    <w:uiPriority w:val="34"/>
    <w:qFormat/>
    <w:pPr>
      <w:ind w:left="720"/>
      <w:contextualSpacing/>
    </w:pPr>
    <w:rPr>
      <w:rFonts w:eastAsiaTheme="minorHAnsi"/>
      <w:lang w:eastAsia="en-US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Normal (Web)"/>
    <w:basedOn w:val="a"/>
    <w:uiPriority w:val="99"/>
    <w:unhideWhenUsed/>
    <w:rsid w:val="00D521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comp_f</dc:creator>
  <cp:keywords/>
  <dc:description/>
  <cp:lastModifiedBy>sportzal</cp:lastModifiedBy>
  <cp:revision>9</cp:revision>
  <dcterms:created xsi:type="dcterms:W3CDTF">2017-08-31T12:14:00Z</dcterms:created>
  <dcterms:modified xsi:type="dcterms:W3CDTF">2022-12-01T07:08:00Z</dcterms:modified>
</cp:coreProperties>
</file>